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python-repoze-lru 0.7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u'2012, Repoze contributors'</w:t>
      </w:r>
    </w:p>
    <w:p>
      <w:pPr>
        <w:spacing w:line="420" w:lineRule="exact"/>
      </w:pPr>
      <w:r>
        <w:rPr>
          <w:rStyle w:val="a0"/>
          <w:rFonts w:ascii="Arial" w:hAnsi="Arial"/>
          <w:sz w:val="20"/>
        </w:rPr>
        <w:t>Copyright (c) 2009 Agendaless Consulting and Contributors. http://www.agendaless.com), All Rights Reserved</w:t>
      </w:r>
    </w:p>
    <w:p>
      <w:pPr>
        <w:spacing w:line="420" w:lineRule="exact"/>
      </w:pPr>
      <w:r>
        <w:rPr>
          <w:rStyle w:val="a0"/>
          <w:rFonts w:ascii="Arial" w:hAnsi="Arial"/>
          <w:sz w:val="20"/>
        </w:rPr>
        <w:t>Copyright (c) 2009 Agendaless Consulting and Contributors.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